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F751" w14:textId="0F245FCA" w:rsidR="00CC6F64" w:rsidRDefault="00CC6F64" w:rsidP="00CC6F64">
      <w:pPr>
        <w:rPr>
          <w:b/>
          <w:bCs/>
        </w:rPr>
      </w:pPr>
      <w:r w:rsidRPr="00CC6F64">
        <w:rPr>
          <w:b/>
          <w:bCs/>
        </w:rPr>
        <w:t>Explanatory Note (</w:t>
      </w:r>
      <w:r w:rsidR="00CB6328">
        <w:rPr>
          <w:b/>
          <w:bCs/>
        </w:rPr>
        <w:t>S</w:t>
      </w:r>
      <w:r w:rsidRPr="00CC6F64">
        <w:rPr>
          <w:b/>
          <w:bCs/>
        </w:rPr>
        <w:t>imulation period: 2022.11.14-</w:t>
      </w:r>
      <w:r w:rsidR="001D610C" w:rsidRPr="001D610C">
        <w:rPr>
          <w:b/>
          <w:bCs/>
        </w:rPr>
        <w:t>2023-09-03</w:t>
      </w:r>
      <w:r w:rsidRPr="00CC6F64">
        <w:rPr>
          <w:b/>
          <w:bCs/>
        </w:rPr>
        <w:t>)</w:t>
      </w:r>
    </w:p>
    <w:p w14:paraId="7A99B03A" w14:textId="3D818B45" w:rsidR="00382E94" w:rsidRDefault="00520CC6" w:rsidP="00CC6F64">
      <w:r>
        <w:t xml:space="preserve">For this period of simulation, the average difference between </w:t>
      </w:r>
      <w:r w:rsidR="00145B49">
        <w:t xml:space="preserve">system price calculated based on EPR results and published system price is </w:t>
      </w:r>
      <w:r w:rsidR="001B14CD">
        <w:t>0.55</w:t>
      </w:r>
      <w:r w:rsidR="00145B49">
        <w:t xml:space="preserve"> Euro, with a maximum </w:t>
      </w:r>
      <w:r w:rsidR="0048125B">
        <w:t xml:space="preserve">difference of </w:t>
      </w:r>
      <w:r w:rsidR="00563B2C">
        <w:t>74.4</w:t>
      </w:r>
      <w:r w:rsidR="0048125B">
        <w:t xml:space="preserve"> Euro.  In this note, we explain the reasons for </w:t>
      </w:r>
      <w:r w:rsidR="00382E94">
        <w:t>such differences, and take a closer look at 6 specific cases where the difference between the system prices are highest.</w:t>
      </w:r>
    </w:p>
    <w:p w14:paraId="7226BFB6" w14:textId="147905D1" w:rsidR="00520CC6" w:rsidRPr="00520CC6" w:rsidRDefault="00520CC6" w:rsidP="00CC6F64"/>
    <w:p w14:paraId="5B69D509" w14:textId="0BC446A4" w:rsidR="00CC6F64" w:rsidRDefault="00E96220" w:rsidP="00E96220">
      <w:pPr>
        <w:rPr>
          <w:b/>
          <w:bCs/>
        </w:rPr>
      </w:pPr>
      <w:r w:rsidRPr="00E96220">
        <w:rPr>
          <w:b/>
          <w:bCs/>
        </w:rPr>
        <w:t>Why calculated system price based on EPR results is different from (production/published) system price?</w:t>
      </w:r>
    </w:p>
    <w:p w14:paraId="4131A364" w14:textId="77777777" w:rsidR="00BB1B31" w:rsidRPr="00BB1B31" w:rsidRDefault="00BB1B31" w:rsidP="00BB1B31">
      <w:r w:rsidRPr="00BB1B31">
        <w:rPr>
          <w:b/>
          <w:bCs/>
        </w:rPr>
        <w:t>Change in Import/Export</w:t>
      </w:r>
    </w:p>
    <w:p w14:paraId="62DD719F" w14:textId="7A4DAC38" w:rsidR="00BB1B31" w:rsidRDefault="00BB1B31" w:rsidP="00BB1B31">
      <w:r w:rsidRPr="00BB1B31">
        <w:t xml:space="preserve">As a result </w:t>
      </w:r>
      <w:r>
        <w:t xml:space="preserve">of </w:t>
      </w:r>
      <w:r w:rsidR="00406641">
        <w:t xml:space="preserve">introducing a </w:t>
      </w:r>
      <w:r w:rsidRPr="00BB1B31">
        <w:t>more efficient capacity calculation (flow</w:t>
      </w:r>
      <w:r w:rsidR="00F11A13">
        <w:t>-</w:t>
      </w:r>
      <w:r w:rsidRPr="00BB1B31">
        <w:t xml:space="preserve">based) in the Nordic region, the flows (in EPR) on the </w:t>
      </w:r>
      <w:r w:rsidR="00C31C66">
        <w:t xml:space="preserve">external </w:t>
      </w:r>
      <w:r w:rsidRPr="00BB1B31">
        <w:t xml:space="preserve">borders </w:t>
      </w:r>
      <w:r w:rsidR="00C31C66">
        <w:t xml:space="preserve">(the ones between the Nordic region and rest of SDAC) </w:t>
      </w:r>
      <w:r w:rsidRPr="00BB1B31">
        <w:t xml:space="preserve">can be different from production </w:t>
      </w:r>
      <w:r w:rsidR="00C31C66">
        <w:t xml:space="preserve">(Nordic ATC based) </w:t>
      </w:r>
      <w:r w:rsidRPr="00BB1B31">
        <w:t>results</w:t>
      </w:r>
      <w:r w:rsidR="00C31C66">
        <w:t>.</w:t>
      </w:r>
    </w:p>
    <w:p w14:paraId="086F08E4" w14:textId="77777777" w:rsidR="004C46D1" w:rsidRDefault="004C46D1" w:rsidP="00A76187">
      <w:pPr>
        <w:rPr>
          <w:b/>
          <w:bCs/>
        </w:rPr>
      </w:pPr>
    </w:p>
    <w:p w14:paraId="2297DC06" w14:textId="1CAF341D" w:rsidR="00826665" w:rsidRPr="00826665" w:rsidRDefault="00826665" w:rsidP="00A76187">
      <w:r w:rsidRPr="00826665">
        <w:rPr>
          <w:b/>
          <w:bCs/>
        </w:rPr>
        <w:t>Timing of capacity publication/ Impact of late outages</w:t>
      </w:r>
    </w:p>
    <w:p w14:paraId="50488D19" w14:textId="0FDF1558" w:rsidR="00826665" w:rsidRDefault="00F54E9F" w:rsidP="00A76187">
      <w:r>
        <w:t>There can be</w:t>
      </w:r>
      <w:r w:rsidR="00826665" w:rsidRPr="00826665">
        <w:t xml:space="preserve"> difference in production ATCs and RAM of </w:t>
      </w:r>
      <w:r>
        <w:t xml:space="preserve">allocation constraint </w:t>
      </w:r>
      <w:r w:rsidR="00826665" w:rsidRPr="00826665">
        <w:t>due to the different deadlines for the NTC and FB process for the operators</w:t>
      </w:r>
      <w:r>
        <w:t xml:space="preserve"> when a change is made just before capacities are applied to the algorithm</w:t>
      </w:r>
      <w:r w:rsidR="000C4316">
        <w:t>.</w:t>
      </w:r>
      <w:r>
        <w:t xml:space="preserve"> This is because of different calculation times in production today and </w:t>
      </w:r>
      <w:proofErr w:type="spellStart"/>
      <w:r>
        <w:t>flowbased</w:t>
      </w:r>
      <w:proofErr w:type="spellEnd"/>
      <w:r>
        <w:t xml:space="preserve"> in EPR. </w:t>
      </w:r>
    </w:p>
    <w:p w14:paraId="4893B8B3" w14:textId="61913706" w:rsidR="000C4316" w:rsidRPr="00826665" w:rsidRDefault="000C4316" w:rsidP="00A76187">
      <w:r>
        <w:t>For example:</w:t>
      </w:r>
    </w:p>
    <w:p w14:paraId="0A59D020" w14:textId="38E6E57C" w:rsidR="00826665" w:rsidRPr="00826665" w:rsidRDefault="00826665" w:rsidP="004C46D1">
      <w:pPr>
        <w:ind w:firstLine="720"/>
      </w:pPr>
      <w:r w:rsidRPr="00826665">
        <w:t>FI_EL: 11/12 difference on 348 MWh</w:t>
      </w:r>
    </w:p>
    <w:p w14:paraId="2ACFADCC" w14:textId="0DC8B5A1" w:rsidR="00826665" w:rsidRPr="00826665" w:rsidRDefault="00826665" w:rsidP="006900CB">
      <w:r w:rsidRPr="00826665">
        <w:t>Outage ended in 10.12 at 9.19, sooner than anticipated. At that time,</w:t>
      </w:r>
      <w:r w:rsidR="006900CB">
        <w:t xml:space="preserve"> the </w:t>
      </w:r>
      <w:proofErr w:type="spellStart"/>
      <w:r w:rsidR="006900CB">
        <w:t>flowbased</w:t>
      </w:r>
      <w:proofErr w:type="spellEnd"/>
      <w:r w:rsidR="006900CB">
        <w:t xml:space="preserve"> domain cannot be recalculated. An IVA cannot be applied either. </w:t>
      </w:r>
    </w:p>
    <w:p w14:paraId="7C4B3057" w14:textId="77777777" w:rsidR="00826665" w:rsidRPr="00826665" w:rsidRDefault="00826665" w:rsidP="004C46D1">
      <w:pPr>
        <w:ind w:firstLine="720"/>
      </w:pPr>
      <w:r w:rsidRPr="00826665">
        <w:t xml:space="preserve">SE4_NB: 8/1 difference on 700 MWh </w:t>
      </w:r>
    </w:p>
    <w:p w14:paraId="2625749F" w14:textId="00A81404" w:rsidR="006900CB" w:rsidRDefault="0087162A" w:rsidP="004C46D1">
      <w:r>
        <w:t>In this case, flow-based</w:t>
      </w:r>
      <w:r w:rsidR="00826665" w:rsidRPr="00826665">
        <w:t xml:space="preserve"> and NTC had different capacities as there were a late change on </w:t>
      </w:r>
      <w:proofErr w:type="spellStart"/>
      <w:r w:rsidR="00826665" w:rsidRPr="00826665">
        <w:t>NordBalt</w:t>
      </w:r>
      <w:proofErr w:type="spellEnd"/>
      <w:r w:rsidR="00826665" w:rsidRPr="00826665">
        <w:t xml:space="preserve"> in the NTC process, which was not captured in the</w:t>
      </w:r>
      <w:r>
        <w:t xml:space="preserve"> flow-based </w:t>
      </w:r>
      <w:r w:rsidR="00826665" w:rsidRPr="00826665">
        <w:t xml:space="preserve">process. </w:t>
      </w:r>
    </w:p>
    <w:p w14:paraId="3016973B" w14:textId="77777777" w:rsidR="008C2E87" w:rsidRDefault="008C2E87" w:rsidP="00BB1B31">
      <w:pPr>
        <w:rPr>
          <w:b/>
          <w:bCs/>
        </w:rPr>
      </w:pPr>
    </w:p>
    <w:p w14:paraId="42A07F57" w14:textId="510B0DA0" w:rsidR="00382E94" w:rsidRDefault="008F616F" w:rsidP="00BB1B31">
      <w:pPr>
        <w:rPr>
          <w:b/>
          <w:bCs/>
        </w:rPr>
      </w:pPr>
      <w:r w:rsidRPr="008F616F">
        <w:rPr>
          <w:b/>
          <w:bCs/>
        </w:rPr>
        <w:t xml:space="preserve">Closer look at </w:t>
      </w:r>
      <w:r w:rsidR="00FA2C04">
        <w:rPr>
          <w:b/>
          <w:bCs/>
        </w:rPr>
        <w:t xml:space="preserve">the </w:t>
      </w:r>
      <w:r w:rsidR="004141DD">
        <w:rPr>
          <w:b/>
          <w:bCs/>
        </w:rPr>
        <w:t xml:space="preserve">impact of change in </w:t>
      </w:r>
      <w:r w:rsidR="006B3D5D">
        <w:rPr>
          <w:b/>
          <w:bCs/>
        </w:rPr>
        <w:t>flow of external borders on system price</w:t>
      </w:r>
      <w:r w:rsidRPr="008F616F">
        <w:rPr>
          <w:b/>
          <w:bCs/>
        </w:rPr>
        <w:t>:</w:t>
      </w:r>
    </w:p>
    <w:p w14:paraId="20D3EF6D" w14:textId="4B147EA5" w:rsidR="00BF1305" w:rsidRDefault="0007636C" w:rsidP="00BB1B31">
      <w:r>
        <w:t xml:space="preserve">When the </w:t>
      </w:r>
      <w:r w:rsidR="00190AFC">
        <w:t xml:space="preserve">flow on the external borders between the Nordic region and rest of SDAC </w:t>
      </w:r>
      <w:r w:rsidR="00360033">
        <w:t>change as a result of Nordic flow</w:t>
      </w:r>
      <w:r w:rsidR="0087162A">
        <w:t>-</w:t>
      </w:r>
      <w:r w:rsidR="00360033">
        <w:t>based market coupling</w:t>
      </w:r>
      <w:r w:rsidR="006A53DE">
        <w:t xml:space="preserve"> (in EPR)</w:t>
      </w:r>
      <w:r w:rsidR="00360033">
        <w:t xml:space="preserve">, </w:t>
      </w:r>
      <w:r w:rsidR="006A53DE">
        <w:t>the calculated system price change</w:t>
      </w:r>
      <w:r w:rsidR="00C93DDB">
        <w:t>s</w:t>
      </w:r>
      <w:r w:rsidR="00517D73">
        <w:t xml:space="preserve"> from the published value (calculated based on ATC market coupling in the Nordic). Depending on the amount of </w:t>
      </w:r>
      <w:r w:rsidR="003118B1">
        <w:t>flow and shape of the curve</w:t>
      </w:r>
      <w:r w:rsidR="007841C4">
        <w:t>s</w:t>
      </w:r>
      <w:r w:rsidR="003118B1">
        <w:t xml:space="preserve"> (steepness)</w:t>
      </w:r>
      <w:r w:rsidR="007841C4">
        <w:t xml:space="preserve"> to which the flow is added</w:t>
      </w:r>
      <w:r w:rsidR="003118B1">
        <w:t xml:space="preserve">, the impact on </w:t>
      </w:r>
      <w:r w:rsidR="00E06764">
        <w:t xml:space="preserve">the </w:t>
      </w:r>
      <w:r w:rsidR="003118B1">
        <w:t xml:space="preserve">system price can be different. </w:t>
      </w:r>
    </w:p>
    <w:p w14:paraId="77061DB1" w14:textId="246F2BE3" w:rsidR="007C6941" w:rsidRDefault="00FF0B5B" w:rsidP="00BB1B31">
      <w:r>
        <w:t xml:space="preserve">In the </w:t>
      </w:r>
      <w:r w:rsidR="00E06764">
        <w:t xml:space="preserve">simulation period, </w:t>
      </w:r>
      <w:r w:rsidR="007C6941">
        <w:t xml:space="preserve">on average </w:t>
      </w:r>
      <w:r w:rsidR="00F9522F">
        <w:t xml:space="preserve">the </w:t>
      </w:r>
      <w:r w:rsidR="007C6941">
        <w:t>EPR based system price is 0.</w:t>
      </w:r>
      <w:r w:rsidR="00C52CEA">
        <w:t>55</w:t>
      </w:r>
      <w:r w:rsidR="007C6941">
        <w:t xml:space="preserve"> Euro higher than </w:t>
      </w:r>
      <w:r w:rsidR="00F9522F">
        <w:t xml:space="preserve">the </w:t>
      </w:r>
      <w:r w:rsidR="00DC524B">
        <w:t>published (ATC</w:t>
      </w:r>
      <w:r w:rsidR="0087162A">
        <w:t>-</w:t>
      </w:r>
      <w:r w:rsidR="00DC524B">
        <w:t xml:space="preserve">based) system price. </w:t>
      </w:r>
    </w:p>
    <w:p w14:paraId="77CBF9FC" w14:textId="2814FC74" w:rsidR="000E2F6C" w:rsidRDefault="007C6941" w:rsidP="00BB1B31">
      <w:r>
        <w:lastRenderedPageBreak/>
        <w:t>T</w:t>
      </w:r>
      <w:r w:rsidR="00E06764">
        <w:t>he biggest change is related to November 29</w:t>
      </w:r>
      <w:r w:rsidR="00EA23BD">
        <w:t xml:space="preserve">, 2022 when </w:t>
      </w:r>
      <w:r w:rsidR="005D6139">
        <w:t>the system price based on EPR results is 24.68</w:t>
      </w:r>
      <w:r w:rsidR="00BF1305">
        <w:t xml:space="preserve"> Euros less than the published system price.</w:t>
      </w:r>
      <w:r w:rsidR="002145A2">
        <w:t xml:space="preserve"> By taking a closer look at the hourly prices, one can see that in hour 18-19 </w:t>
      </w:r>
      <w:r w:rsidR="0028608E">
        <w:t>the price difference is at its maximum (74.4) when</w:t>
      </w:r>
      <w:r w:rsidR="00F41FFF">
        <w:t xml:space="preserve"> in </w:t>
      </w:r>
      <w:r w:rsidR="00E87E5F">
        <w:t xml:space="preserve">the </w:t>
      </w:r>
      <w:r w:rsidR="00F41FFF">
        <w:t>EPR results</w:t>
      </w:r>
      <w:r w:rsidR="0028608E">
        <w:t xml:space="preserve"> </w:t>
      </w:r>
      <w:r w:rsidR="007517B8">
        <w:t xml:space="preserve">the flow on LT-SE4 is </w:t>
      </w:r>
      <w:r w:rsidR="00BC127F">
        <w:t xml:space="preserve">in the opposite direction of the </w:t>
      </w:r>
      <w:r w:rsidR="007C5D00">
        <w:t>published (ATC</w:t>
      </w:r>
      <w:r w:rsidR="005C276A">
        <w:t>-</w:t>
      </w:r>
      <w:r w:rsidR="007C5D00">
        <w:t xml:space="preserve">based) </w:t>
      </w:r>
      <w:r w:rsidR="00BC127F">
        <w:t>flo</w:t>
      </w:r>
      <w:r w:rsidR="00162DAC">
        <w:t>w.</w:t>
      </w:r>
      <w:r w:rsidR="00621959">
        <w:t xml:space="preserve"> </w:t>
      </w:r>
      <w:r w:rsidR="00162DAC">
        <w:t>While the ATC</w:t>
      </w:r>
      <w:r w:rsidR="005C276A" w:rsidRPr="005C276A">
        <w:t>-</w:t>
      </w:r>
      <w:r w:rsidR="00162DAC">
        <w:t xml:space="preserve">based flow </w:t>
      </w:r>
      <w:r w:rsidR="0010043D">
        <w:t xml:space="preserve">of 440.5 MW </w:t>
      </w:r>
      <w:r w:rsidR="00162DAC">
        <w:t xml:space="preserve">on this border is </w:t>
      </w:r>
      <w:r w:rsidR="0010043D">
        <w:t>from SE4 to LT</w:t>
      </w:r>
      <w:r w:rsidR="00221ECF">
        <w:t xml:space="preserve">, in </w:t>
      </w:r>
      <w:r w:rsidR="00CE6039">
        <w:t xml:space="preserve">the </w:t>
      </w:r>
      <w:r w:rsidR="00221ECF">
        <w:t xml:space="preserve">EPR results the </w:t>
      </w:r>
      <w:r w:rsidR="0010043D">
        <w:t xml:space="preserve">flow is </w:t>
      </w:r>
      <w:r w:rsidR="00E85338">
        <w:t>from LT to SE4 (559.8 MW)</w:t>
      </w:r>
      <w:r w:rsidR="0010043D">
        <w:t xml:space="preserve">, </w:t>
      </w:r>
      <w:r w:rsidR="00621959">
        <w:t xml:space="preserve">meaning that a total change of </w:t>
      </w:r>
      <w:r w:rsidR="00566C96">
        <w:t xml:space="preserve">1000.3 on this border which can explain the impact on the system price. </w:t>
      </w:r>
    </w:p>
    <w:p w14:paraId="590076C4" w14:textId="36A027B0" w:rsidR="00F22D22" w:rsidRPr="000E2F6C" w:rsidRDefault="00F22D22" w:rsidP="00BB1B31">
      <w:r>
        <w:t xml:space="preserve">In fact, the change in the </w:t>
      </w:r>
      <w:r w:rsidR="00CF0674">
        <w:t>flows on the external borders is the main cause of the change in the system price</w:t>
      </w:r>
      <w:r w:rsidR="005A53F2">
        <w:t xml:space="preserve">, which becomes more significant when the direction of flow in </w:t>
      </w:r>
      <w:r w:rsidR="005A5CBF">
        <w:t>flow-based (</w:t>
      </w:r>
      <w:r w:rsidR="005A53F2">
        <w:t>EPR</w:t>
      </w:r>
      <w:r w:rsidR="005A5CBF">
        <w:t>)</w:t>
      </w:r>
      <w:r w:rsidR="005A53F2">
        <w:t xml:space="preserve"> is different from than of </w:t>
      </w:r>
      <w:r w:rsidR="005A5CBF">
        <w:t>ATC-based.</w:t>
      </w:r>
    </w:p>
    <w:sectPr w:rsidR="00F22D22" w:rsidRPr="000E2F6C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3C39" w14:textId="77777777" w:rsidR="00050E2D" w:rsidRDefault="00050E2D" w:rsidP="00CC6F64">
      <w:pPr>
        <w:spacing w:after="0" w:line="240" w:lineRule="auto"/>
      </w:pPr>
      <w:r>
        <w:separator/>
      </w:r>
    </w:p>
  </w:endnote>
  <w:endnote w:type="continuationSeparator" w:id="0">
    <w:p w14:paraId="18477052" w14:textId="77777777" w:rsidR="00050E2D" w:rsidRDefault="00050E2D" w:rsidP="00CC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15BD" w14:textId="77777777" w:rsidR="00CC6F64" w:rsidRDefault="00CC6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8DEB" w14:textId="77777777" w:rsidR="00CC6F64" w:rsidRDefault="00CC6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2639" w14:textId="77777777" w:rsidR="00CC6F64" w:rsidRDefault="00CC6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11BA" w14:textId="77777777" w:rsidR="00050E2D" w:rsidRDefault="00050E2D" w:rsidP="00CC6F64">
      <w:pPr>
        <w:spacing w:after="0" w:line="240" w:lineRule="auto"/>
      </w:pPr>
      <w:r>
        <w:separator/>
      </w:r>
    </w:p>
  </w:footnote>
  <w:footnote w:type="continuationSeparator" w:id="0">
    <w:p w14:paraId="47D207FD" w14:textId="77777777" w:rsidR="00050E2D" w:rsidRDefault="00050E2D" w:rsidP="00CC6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2DD"/>
    <w:multiLevelType w:val="hybridMultilevel"/>
    <w:tmpl w:val="E7567782"/>
    <w:lvl w:ilvl="0" w:tplc="3F7AB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AD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45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A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6A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8D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6A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C4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195F4D"/>
    <w:multiLevelType w:val="hybridMultilevel"/>
    <w:tmpl w:val="D2F20B78"/>
    <w:lvl w:ilvl="0" w:tplc="4056B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F9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27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8D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A7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2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27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4F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A6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662EF0"/>
    <w:multiLevelType w:val="hybridMultilevel"/>
    <w:tmpl w:val="BFB4FFF8"/>
    <w:lvl w:ilvl="0" w:tplc="8A16F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F00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43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82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A1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24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CD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8B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CE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347632"/>
    <w:multiLevelType w:val="hybridMultilevel"/>
    <w:tmpl w:val="3B76815A"/>
    <w:lvl w:ilvl="0" w:tplc="DEAE7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9CD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E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E3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2A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AC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0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20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A8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B2621B"/>
    <w:multiLevelType w:val="hybridMultilevel"/>
    <w:tmpl w:val="FBD4ACFA"/>
    <w:lvl w:ilvl="0" w:tplc="42C028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9159135">
    <w:abstractNumId w:val="1"/>
  </w:num>
  <w:num w:numId="2" w16cid:durableId="1190532441">
    <w:abstractNumId w:val="0"/>
  </w:num>
  <w:num w:numId="3" w16cid:durableId="1193572296">
    <w:abstractNumId w:val="2"/>
  </w:num>
  <w:num w:numId="4" w16cid:durableId="1013995707">
    <w:abstractNumId w:val="3"/>
  </w:num>
  <w:num w:numId="5" w16cid:durableId="1337070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64"/>
    <w:rsid w:val="00050E2D"/>
    <w:rsid w:val="0007636C"/>
    <w:rsid w:val="000A3F09"/>
    <w:rsid w:val="000C4316"/>
    <w:rsid w:val="000E2F6C"/>
    <w:rsid w:val="0010043D"/>
    <w:rsid w:val="00145B49"/>
    <w:rsid w:val="00162DAC"/>
    <w:rsid w:val="00190AFC"/>
    <w:rsid w:val="001B14CD"/>
    <w:rsid w:val="001D610C"/>
    <w:rsid w:val="002145A2"/>
    <w:rsid w:val="00221ECF"/>
    <w:rsid w:val="00263186"/>
    <w:rsid w:val="0028608E"/>
    <w:rsid w:val="003118B1"/>
    <w:rsid w:val="00360033"/>
    <w:rsid w:val="00382E94"/>
    <w:rsid w:val="003B249C"/>
    <w:rsid w:val="003F31AD"/>
    <w:rsid w:val="00406641"/>
    <w:rsid w:val="004141DD"/>
    <w:rsid w:val="0042469B"/>
    <w:rsid w:val="0048125B"/>
    <w:rsid w:val="004C46D1"/>
    <w:rsid w:val="00517D73"/>
    <w:rsid w:val="00520CC6"/>
    <w:rsid w:val="00563B2C"/>
    <w:rsid w:val="00566C96"/>
    <w:rsid w:val="005A53F2"/>
    <w:rsid w:val="005A5CBF"/>
    <w:rsid w:val="005B50EF"/>
    <w:rsid w:val="005C276A"/>
    <w:rsid w:val="005D6139"/>
    <w:rsid w:val="005F249C"/>
    <w:rsid w:val="00621959"/>
    <w:rsid w:val="00663867"/>
    <w:rsid w:val="006900CB"/>
    <w:rsid w:val="006913F8"/>
    <w:rsid w:val="006A53DE"/>
    <w:rsid w:val="006B3D5D"/>
    <w:rsid w:val="007163B1"/>
    <w:rsid w:val="007517B8"/>
    <w:rsid w:val="00760718"/>
    <w:rsid w:val="007841C4"/>
    <w:rsid w:val="007A7CD9"/>
    <w:rsid w:val="007C22EA"/>
    <w:rsid w:val="007C5D00"/>
    <w:rsid w:val="007C6941"/>
    <w:rsid w:val="00826665"/>
    <w:rsid w:val="0087162A"/>
    <w:rsid w:val="008C2E87"/>
    <w:rsid w:val="008D1FE4"/>
    <w:rsid w:val="008D2642"/>
    <w:rsid w:val="008F616F"/>
    <w:rsid w:val="00970A6A"/>
    <w:rsid w:val="00987BEF"/>
    <w:rsid w:val="00A15E0A"/>
    <w:rsid w:val="00A269D6"/>
    <w:rsid w:val="00A5371D"/>
    <w:rsid w:val="00A76187"/>
    <w:rsid w:val="00A83D14"/>
    <w:rsid w:val="00AE0C5F"/>
    <w:rsid w:val="00BB1B31"/>
    <w:rsid w:val="00BC127F"/>
    <w:rsid w:val="00BF1305"/>
    <w:rsid w:val="00C31C66"/>
    <w:rsid w:val="00C526DE"/>
    <w:rsid w:val="00C52CEA"/>
    <w:rsid w:val="00C836F0"/>
    <w:rsid w:val="00C93DDB"/>
    <w:rsid w:val="00CB6328"/>
    <w:rsid w:val="00CC6F64"/>
    <w:rsid w:val="00CE6039"/>
    <w:rsid w:val="00CF0674"/>
    <w:rsid w:val="00D03F4C"/>
    <w:rsid w:val="00D54B4A"/>
    <w:rsid w:val="00D7500B"/>
    <w:rsid w:val="00D908CD"/>
    <w:rsid w:val="00DC524B"/>
    <w:rsid w:val="00DE5E47"/>
    <w:rsid w:val="00E06764"/>
    <w:rsid w:val="00E07D02"/>
    <w:rsid w:val="00E85338"/>
    <w:rsid w:val="00E87E5F"/>
    <w:rsid w:val="00E96220"/>
    <w:rsid w:val="00EA23BD"/>
    <w:rsid w:val="00EE0B9A"/>
    <w:rsid w:val="00EF4EBF"/>
    <w:rsid w:val="00F11A13"/>
    <w:rsid w:val="00F2166E"/>
    <w:rsid w:val="00F22D22"/>
    <w:rsid w:val="00F41FFF"/>
    <w:rsid w:val="00F54E9F"/>
    <w:rsid w:val="00F9522F"/>
    <w:rsid w:val="00F958E7"/>
    <w:rsid w:val="00FA2C04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B1F4"/>
  <w15:chartTrackingRefBased/>
  <w15:docId w15:val="{159CD2E5-7ACB-4916-BC8B-665CD1E0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F64"/>
  </w:style>
  <w:style w:type="paragraph" w:styleId="ListParagraph">
    <w:name w:val="List Paragraph"/>
    <w:basedOn w:val="Normal"/>
    <w:uiPriority w:val="34"/>
    <w:qFormat/>
    <w:rsid w:val="008266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2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9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4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4B65DAB60EE45AC4A33F419CC0765" ma:contentTypeVersion="155" ma:contentTypeDescription="Create a new document." ma:contentTypeScope="" ma:versionID="99f86f1b5132d1bb30c28b05700bd67c">
  <xsd:schema xmlns:xsd="http://www.w3.org/2001/XMLSchema" xmlns:xs="http://www.w3.org/2001/XMLSchema" xmlns:p="http://schemas.microsoft.com/office/2006/metadata/properties" xmlns:ns2="589beab1-99e1-4b5a-9a84-2ccbf5e86e20" xmlns:ns3="f7e3b6d9-4209-4905-add5-d9e340886846" xmlns:ns4="0f96ddfa-ba6f-4759-822b-93d7622c3a2e" xmlns:ns5="990645bf-f7d2-43d8-91f0-85c36a3aec7f" targetNamespace="http://schemas.microsoft.com/office/2006/metadata/properties" ma:root="true" ma:fieldsID="4d0f9d53c8771978b2865ba5e7dada7d" ns2:_="" ns3:_="" ns4:_="" ns5:_="">
    <xsd:import namespace="589beab1-99e1-4b5a-9a84-2ccbf5e86e20"/>
    <xsd:import namespace="f7e3b6d9-4209-4905-add5-d9e340886846"/>
    <xsd:import namespace="0f96ddfa-ba6f-4759-822b-93d7622c3a2e"/>
    <xsd:import namespace="990645bf-f7d2-43d8-91f0-85c36a3aec7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beab1-99e1-4b5a-9a84-2ccbf5e86e2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c3b8c3b-1f71-423b-87c2-7014a3a13b7f}" ma:internalName="TaxCatchAll" ma:readOnly="false" ma:showField="CatchAllData" ma:web="589beab1-99e1-4b5a-9a84-2ccbf5e86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b6d9-4209-4905-add5-d9e340886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6ddfa-ba6f-4759-822b-93d7622c3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45bf-f7d2-43d8-91f0-85c36a3aec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448b7c-b198-4f3f-91b4-0f03f23d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928C4-80AF-42F1-B208-E4CF081F5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4CC4C-8BD8-4D74-8E45-DBE5718E9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beab1-99e1-4b5a-9a84-2ccbf5e86e20"/>
    <ds:schemaRef ds:uri="f7e3b6d9-4209-4905-add5-d9e340886846"/>
    <ds:schemaRef ds:uri="0f96ddfa-ba6f-4759-822b-93d7622c3a2e"/>
    <ds:schemaRef ds:uri="990645bf-f7d2-43d8-91f0-85c36a3ae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Bagherpour</dc:creator>
  <cp:keywords/>
  <dc:description/>
  <cp:lastModifiedBy>Nicolas Rivera</cp:lastModifiedBy>
  <cp:revision>28</cp:revision>
  <dcterms:created xsi:type="dcterms:W3CDTF">2023-08-10T12:40:00Z</dcterms:created>
  <dcterms:modified xsi:type="dcterms:W3CDTF">2023-09-27T07:49:00Z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0b9ce6-6e99-42a1-af95-429494370cbc_Enabled">
    <vt:lpwstr>true</vt:lpwstr>
  </property>
  <property fmtid="{D5CDD505-2E9C-101B-9397-08002B2CF9AE}" pid="3" name="MSIP_Label_ac0b9ce6-6e99-42a1-af95-429494370cbc_SetDate">
    <vt:lpwstr>2023-06-30T10:39:17Z</vt:lpwstr>
  </property>
  <property fmtid="{D5CDD505-2E9C-101B-9397-08002B2CF9AE}" pid="4" name="MSIP_Label_ac0b9ce6-6e99-42a1-af95-429494370cbc_Method">
    <vt:lpwstr>Standard</vt:lpwstr>
  </property>
  <property fmtid="{D5CDD505-2E9C-101B-9397-08002B2CF9AE}" pid="5" name="MSIP_Label_ac0b9ce6-6e99-42a1-af95-429494370cbc_Name">
    <vt:lpwstr>ac0b9ce6-6e99-42a1-af95-429494370cbc</vt:lpwstr>
  </property>
  <property fmtid="{D5CDD505-2E9C-101B-9397-08002B2CF9AE}" pid="6" name="MSIP_Label_ac0b9ce6-6e99-42a1-af95-429494370cbc_SiteId">
    <vt:lpwstr>315b1ee5-c224-498b-871e-c140611d6d07</vt:lpwstr>
  </property>
  <property fmtid="{D5CDD505-2E9C-101B-9397-08002B2CF9AE}" pid="7" name="MSIP_Label_ac0b9ce6-6e99-42a1-af95-429494370cbc_ActionId">
    <vt:lpwstr>6c3b9d2b-67dc-4455-8330-c1f05356c115</vt:lpwstr>
  </property>
  <property fmtid="{D5CDD505-2E9C-101B-9397-08002B2CF9AE}" pid="8" name="MSIP_Label_ac0b9ce6-6e99-42a1-af95-429494370cbc_ContentBits">
    <vt:lpwstr>2</vt:lpwstr>
  </property>
</Properties>
</file>